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Tranemo kommunfullmäktige</w:t>
      </w:r>
    </w:p>
    <w:p>
      <w:pPr>
        <w:pStyle w:val="Heading1"/>
      </w:pPr>
      <w:r>
        <w:t xml:space="preserve">Digitalt först i kommunal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Tranemo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42 % av Tranemos kommunala tjänster är fullt digitala (kommunens digitaliseringsrapport 2024). Detta försämrar tillgänglighet för invånare och 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Tranemo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en digital först-princip för alla nya tjänster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medel för digitalisering av de fem mest använda e-tjänsterna.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 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 årligen.</w:t>
      </w:r>
    </w:p>
    <w:p>
      <w:pPr>
        <w:spacing w:before="360"/>
      </w:pPr>
    </w:p>
    <w:p>
      <w:r>
        <w:t xml:space="preserve">Tranemo,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Tranemo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2026-07-14T05:23:59.838Z</dcterms:created>
  <dcterms:modified xsi:type="dcterms:W3CDTF">2026-07-14T05:23:59.838Z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